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>" اپیدمیولوژی تغذیه " به ارزش 2واحد نظری</w:t>
      </w:r>
    </w:p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 (مشترک با خانم دکتر رف رف)</w:t>
      </w:r>
    </w:p>
    <w:p>
      <w:pPr>
        <w:bidi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5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اپیدمیولوژی تغذیه               </w:t>
      </w:r>
      <w:r>
        <w:rPr>
          <w:b/>
          <w:bCs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رشته و مقطع تحصیلی : کارشناسی ارشد 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تغذیه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اول                         روز و ساعت برگزاری : یکشنبه ساعت 10-8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محل برگزاری: کلاس 7 تغذیه                    تعداد و نوع واحد ( نظری / عملی ) : نظری  - یک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مبانی- اصول و کاربرد اپیدمیولوژی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برتعریف 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دامنه کاربرد و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اهداف اپیدمیولوژی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برواژه های متداول در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با تاکید بر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تعیین فعالیت دانشجو در طول ترم در قالب ارائه نقد و بررسی مقالات و پژوهشها از دیداپیدمیولوژی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اتیولوژی و مدلهای علیتی- بیماریهای شایع تغذیه ای در ایران و جهان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اصول و کاربرد های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مدل های اکولوژیک در ارتباط با روابط علیتی در بیماریهای مختلف: واگیر و غیر واگیر، تک علیتی و چند علیتی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مدل های علیتی در مشکلات تغذیه ای شایع جهان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پزشکی جغرافیایی در ایران از دیدگاه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مروری بر اپیدمیولوژی و کنترل بیماریهای شایع تغذیه ای در ایران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ارائه تکلیف دانشجوئی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شاخصها-  میزانها و اندازه 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ابزارهای اصلی اندازه گیری ها در اپیدمیولوژی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ابتلاء و کاربرد آنها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 ها و انواع آن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شیوع وبروز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میرایی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جمعیتی و آمارهای حیاتی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مرگ و میر از بیماریها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روائی- پایائی- تکرارپذیری و منابع خطا در مطالعات تغذیه ای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مفاهیم اعتبار یا روایی، قابلیت اعتماد یا پایایی و تکرارپذیری در ارزیابی های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منابع خطا و تورش در ارزیابی مشکلات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معرفی ابزارهای بررسی نقادانه بر حسب متدولوژی تحقیق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بررسی اعتبار سنجی در مقالات تغذیه ای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غربالگری- مطالعات تشخیصی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روشهای کشف بیماریهای تغذیه ای - غربالگری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(Screening)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مطالعات تشخیصی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(Diagnostic study)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بامفاهیم حساسیت 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(Sensitivity)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، ویژگی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(Specificity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ارزشهای اخباری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(Predictive values)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نسبت درستنمایی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(Likelihood ratio)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نحوه بررسی یک مقاله تشخیصی و نگاه نقادانه بر آن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انواع مطالعات توصیفی و تحلیلی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مروری بر مطالعات توصیفی و کاربرد آنها در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نحوه بررسی یک مقاله توصیفی و نگاه نقادانه بر آن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مطالعات اعتبار سنجی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(Validation)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نحوه طراحی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مروری بر طبقه بندی و کاربرد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انواع مطالعات تحليلي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(Analytical)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مطالعات مقطعی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مورد-شاهدي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(Case-Control)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همگروهي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(Cohort)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مطالعات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مزایا و محدودیتهای مطالعات تحلیلی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نحوه بررسی مقال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ات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 مقطعی تحلیلی- موردی- شاهدی و همگروهی  و نگاه نقادانه بر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هشتم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اهمیت- طبقه بندی و طراحی  کارآزمائیهای بالینی و مطالعات تجربی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کارآزمائیهای بالینی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(Trial-Interventional)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کارآزمائیها و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نقد و بررسی مقالات کارآزمایی بالینی بررسی شده توسط دانشجویان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تجزیه و تحلیل داده های مطالعات اعتبارسنجی و بررسی روایی و پایایی آن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مقایسه- محدودیتها و مزایای انواع روشهای پژوهشی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>شيوه امتحان:</w:t>
      </w:r>
    </w:p>
    <w:p>
      <w:pPr>
        <w:bidi/>
        <w:jc w:val="both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آزمون چند گزينه اي، پر كردن جاي خالي </w:t>
      </w:r>
    </w:p>
    <w:p>
      <w:pPr>
        <w:tabs>
          <w:tab w:val="num" w:pos="2880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الف ) در طول دوره ( </w:t>
      </w:r>
      <w:r>
        <w:rPr>
          <w:rFonts w:ascii="Arial" w:hAnsi="Arial" w:cs="Arial" w:hint="cs"/>
          <w:sz w:val="22"/>
          <w:szCs w:val="22"/>
          <w:rtl/>
          <w:lang w:bidi="fa-IR"/>
        </w:rPr>
        <w:t>مشارکت در بررسی مقالات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)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2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ب ) پایان دوره  : امتحان                 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18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ind w:left="360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ind w:left="3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 xml:space="preserve">منابع: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ind w:left="644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Nutritional Epidemiology: W.C. Willett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>Epidemiology. Gordis L. Elsevier Inc. Pennsylvania</w:t>
      </w:r>
      <w:r>
        <w:rPr>
          <w:rFonts w:cs="B Lotus"/>
          <w:color w:val="000000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>Epidemiology for Public Health Practice: Friis</w:t>
      </w:r>
      <w:r>
        <w:rPr>
          <w:rFonts w:cs="B Lotus"/>
          <w:color w:val="000000"/>
          <w:sz w:val="28"/>
          <w:szCs w:val="28"/>
          <w:rtl/>
        </w:rPr>
        <w:t xml:space="preserve"> &amp; </w:t>
      </w:r>
      <w:r>
        <w:rPr>
          <w:rFonts w:cs="B Lotus"/>
          <w:color w:val="000000"/>
          <w:sz w:val="28"/>
          <w:szCs w:val="28"/>
        </w:rPr>
        <w:t>Sellers</w:t>
      </w:r>
      <w:r>
        <w:rPr>
          <w:rFonts w:cs="B Lotus"/>
          <w:color w:val="000000"/>
          <w:sz w:val="28"/>
          <w:szCs w:val="28"/>
          <w:rtl/>
        </w:rPr>
        <w:t xml:space="preserve">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مزایا و محدودیتهای اپیدمیولوژی تغذیه: ترجمه نسرین امیدوار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مبانی اپیدمیولوژی : مازنر. ترجمه: کیومرث ناصری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اصول و روشهای اپیدمیولوژی- جمعیت شناسی و آمارهای بهداشتی. جلد اول. ترجمه: دکتر خسین شجاعی تهرانی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اپیدمیولوژی پزشکی ترجمه: دکتر محسن جانقربانی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اپیدمیولوژی و کنترل بیماریهای شایع در ایران .حسین حاتمی، فریدون عزیزی، محسن جانقربانی . نشر: خسروی ، 1385 </w:t>
      </w:r>
    </w:p>
    <w:p>
      <w:pPr>
        <w:numPr>
          <w:ilvl w:val="0"/>
          <w:numId w:val="1"/>
        </w:numPr>
        <w:bidi/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 xml:space="preserve">مبانی اپیدمیولوژی گوردیس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سایت های تخصصی اپیدمیولوژی ( داخلی – خارجی)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rtl/>
        </w:rPr>
        <w:t>مجلات علمی پژوهشی پرستاری ،علوم پزشکی و بهداشتی ( داخلی ، خارجی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) </w:t>
      </w:r>
    </w:p>
    <w:sectPr>
      <w:pgSz w:w="11907" w:h="16840" w:code="9"/>
      <w:pgMar w:top="1440" w:right="1440" w:bottom="1440" w:left="144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D695E-920C-455B-89F9-7CC422F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2019-08-25T09:06:00Z</dcterms:created>
  <dcterms:modified xsi:type="dcterms:W3CDTF">2019-08-25T09:49:00Z</dcterms:modified>
</cp:coreProperties>
</file>